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9DA1" w14:textId="7033F604" w:rsidR="000729AA" w:rsidRPr="001459AE" w:rsidRDefault="0033775F" w:rsidP="001045E0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Arial" w:hAnsi="Arial" w:cs="Arial"/>
          <w:b/>
          <w:bCs/>
          <w:sz w:val="32"/>
          <w:lang w:val="en-US"/>
        </w:rPr>
      </w:pPr>
      <w:r w:rsidRPr="001459AE">
        <w:rPr>
          <w:rFonts w:ascii="Arial" w:hAnsi="Arial" w:cs="Arial"/>
          <w:b/>
          <w:bCs/>
          <w:noProof/>
          <w:sz w:val="32"/>
          <w:lang w:eastAsia="en-ZA"/>
        </w:rPr>
        <w:drawing>
          <wp:anchor distT="0" distB="0" distL="114300" distR="114300" simplePos="0" relativeHeight="251658240" behindDoc="1" locked="0" layoutInCell="1" allowOverlap="1" wp14:anchorId="13089206" wp14:editId="2B08AAE6">
            <wp:simplePos x="914400" y="914400"/>
            <wp:positionH relativeFrom="page">
              <wp:align>center</wp:align>
            </wp:positionH>
            <wp:positionV relativeFrom="page">
              <wp:align>bottom</wp:align>
            </wp:positionV>
            <wp:extent cx="7560000" cy="932400"/>
            <wp:effectExtent l="0" t="0" r="317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9AE">
        <w:rPr>
          <w:rFonts w:ascii="Arial" w:hAnsi="Arial" w:cs="Arial"/>
          <w:b/>
          <w:bCs/>
          <w:sz w:val="32"/>
          <w:lang w:val="en-US"/>
        </w:rPr>
        <w:t xml:space="preserve">SA </w:t>
      </w:r>
      <w:r w:rsidR="00A85F4F" w:rsidRPr="001459AE">
        <w:rPr>
          <w:rFonts w:ascii="Arial" w:hAnsi="Arial" w:cs="Arial"/>
          <w:b/>
          <w:bCs/>
          <w:sz w:val="32"/>
          <w:lang w:val="en-US"/>
        </w:rPr>
        <w:t>INDUST</w:t>
      </w:r>
      <w:bookmarkStart w:id="0" w:name="_GoBack"/>
      <w:bookmarkEnd w:id="0"/>
      <w:r w:rsidR="00A85F4F" w:rsidRPr="001459AE">
        <w:rPr>
          <w:rFonts w:ascii="Arial" w:hAnsi="Arial" w:cs="Arial"/>
          <w:b/>
          <w:bCs/>
          <w:sz w:val="32"/>
          <w:lang w:val="en-US"/>
        </w:rPr>
        <w:t>RIAL ENERGY EFFICIENCY PROJECT</w:t>
      </w:r>
    </w:p>
    <w:p w14:paraId="1471EED1" w14:textId="2013C3F1" w:rsidR="001045E0" w:rsidRPr="001459AE" w:rsidRDefault="001045E0" w:rsidP="001045E0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Arial" w:hAnsi="Arial" w:cs="Arial"/>
          <w:b/>
          <w:bCs/>
          <w:sz w:val="28"/>
          <w:lang w:val="en-US"/>
        </w:rPr>
      </w:pPr>
      <w:r w:rsidRPr="001459AE">
        <w:rPr>
          <w:rFonts w:ascii="Arial" w:hAnsi="Arial" w:cs="Arial"/>
          <w:b/>
          <w:bCs/>
          <w:sz w:val="28"/>
          <w:lang w:val="en-US"/>
        </w:rPr>
        <w:t>Fact Sheet, October 2020</w:t>
      </w:r>
    </w:p>
    <w:p w14:paraId="023BD8D3" w14:textId="77777777" w:rsidR="00121B9A" w:rsidRPr="001459AE" w:rsidRDefault="00CA7067" w:rsidP="00121B9A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iCs/>
          <w:sz w:val="24"/>
        </w:rPr>
      </w:pPr>
      <w:hyperlink r:id="rId6" w:history="1">
        <w:r w:rsidR="00121B9A" w:rsidRPr="001459AE">
          <w:rPr>
            <w:rStyle w:val="Hyperlink"/>
            <w:rFonts w:ascii="Arial" w:hAnsi="Arial" w:cs="Arial"/>
            <w:b/>
            <w:iCs/>
            <w:sz w:val="24"/>
          </w:rPr>
          <w:t>www.ieeproject.co.za</w:t>
        </w:r>
      </w:hyperlink>
      <w:r w:rsidR="00121B9A" w:rsidRPr="001459AE">
        <w:rPr>
          <w:rFonts w:ascii="Arial" w:hAnsi="Arial" w:cs="Arial"/>
          <w:b/>
          <w:iCs/>
          <w:sz w:val="24"/>
        </w:rPr>
        <w:t xml:space="preserve"> / </w:t>
      </w:r>
      <w:hyperlink r:id="rId7" w:history="1">
        <w:r w:rsidR="00121B9A" w:rsidRPr="001459AE">
          <w:rPr>
            <w:rStyle w:val="Hyperlink"/>
            <w:rFonts w:ascii="Arial" w:hAnsi="Arial" w:cs="Arial"/>
            <w:b/>
            <w:iCs/>
            <w:sz w:val="24"/>
          </w:rPr>
          <w:t>www.ncpc.co.za</w:t>
        </w:r>
      </w:hyperlink>
      <w:r w:rsidR="00121B9A" w:rsidRPr="001459AE">
        <w:rPr>
          <w:rFonts w:ascii="Arial" w:hAnsi="Arial" w:cs="Arial"/>
          <w:b/>
          <w:iCs/>
          <w:sz w:val="24"/>
        </w:rPr>
        <w:t xml:space="preserve"> </w:t>
      </w:r>
    </w:p>
    <w:p w14:paraId="787FEE34" w14:textId="6FD11F3D" w:rsidR="00B42B57" w:rsidRPr="001459AE" w:rsidRDefault="00CA7067" w:rsidP="00121B9A">
      <w:pPr>
        <w:pStyle w:val="ListParagraph"/>
        <w:spacing w:line="276" w:lineRule="auto"/>
        <w:ind w:left="360"/>
        <w:jc w:val="center"/>
        <w:rPr>
          <w:rFonts w:ascii="Arial" w:hAnsi="Arial" w:cs="Arial"/>
          <w:i/>
          <w:iCs/>
          <w:lang w:val="en-US"/>
        </w:rPr>
      </w:pPr>
      <w:hyperlink r:id="rId8" w:history="1">
        <w:r w:rsidR="00121B9A" w:rsidRPr="001459AE">
          <w:rPr>
            <w:rStyle w:val="Hyperlink"/>
            <w:rFonts w:ascii="Arial" w:hAnsi="Arial" w:cs="Arial"/>
            <w:b/>
            <w:iCs/>
            <w:sz w:val="24"/>
          </w:rPr>
          <w:t>ncpc@csir.co.za</w:t>
        </w:r>
      </w:hyperlink>
      <w:r w:rsidR="00121B9A" w:rsidRPr="001459AE">
        <w:rPr>
          <w:rFonts w:ascii="Arial" w:hAnsi="Arial" w:cs="Arial"/>
          <w:b/>
          <w:iCs/>
          <w:sz w:val="24"/>
        </w:rPr>
        <w:t xml:space="preserve"> </w:t>
      </w:r>
    </w:p>
    <w:p w14:paraId="2BDCBF27" w14:textId="319FC9B4" w:rsidR="00B42B57" w:rsidRPr="001459AE" w:rsidRDefault="00CF718A" w:rsidP="001045E0">
      <w:pPr>
        <w:spacing w:line="276" w:lineRule="auto"/>
        <w:contextualSpacing/>
        <w:rPr>
          <w:rFonts w:ascii="Arial" w:hAnsi="Arial" w:cs="Arial"/>
          <w:b/>
          <w:bCs/>
          <w:sz w:val="24"/>
        </w:rPr>
      </w:pPr>
      <w:r w:rsidRPr="001459AE">
        <w:rPr>
          <w:rFonts w:ascii="Arial" w:hAnsi="Arial" w:cs="Arial"/>
          <w:b/>
          <w:bCs/>
          <w:sz w:val="24"/>
        </w:rPr>
        <w:t xml:space="preserve">BACKGROUND </w:t>
      </w:r>
    </w:p>
    <w:p w14:paraId="133BFA26" w14:textId="227D7CCA" w:rsidR="0033775F" w:rsidRPr="001459AE" w:rsidRDefault="0033775F" w:rsidP="001045E0">
      <w:pPr>
        <w:spacing w:line="276" w:lineRule="auto"/>
        <w:contextualSpacing/>
        <w:jc w:val="both"/>
        <w:rPr>
          <w:rFonts w:ascii="Arial" w:hAnsi="Arial" w:cs="Arial"/>
        </w:rPr>
      </w:pPr>
      <w:r w:rsidRPr="001459AE">
        <w:rPr>
          <w:rFonts w:ascii="Arial" w:hAnsi="Arial" w:cs="Arial"/>
        </w:rPr>
        <w:t>Now in its second phase, the S</w:t>
      </w:r>
      <w:r w:rsidR="00AC6632" w:rsidRPr="001459AE">
        <w:rPr>
          <w:rFonts w:ascii="Arial" w:hAnsi="Arial" w:cs="Arial"/>
        </w:rPr>
        <w:t xml:space="preserve">outh </w:t>
      </w:r>
      <w:r w:rsidRPr="001459AE">
        <w:rPr>
          <w:rFonts w:ascii="Arial" w:hAnsi="Arial" w:cs="Arial"/>
        </w:rPr>
        <w:t>A</w:t>
      </w:r>
      <w:r w:rsidR="00AC6632" w:rsidRPr="001459AE">
        <w:rPr>
          <w:rFonts w:ascii="Arial" w:hAnsi="Arial" w:cs="Arial"/>
        </w:rPr>
        <w:t>frican</w:t>
      </w:r>
      <w:r w:rsidRPr="001459AE">
        <w:rPr>
          <w:rFonts w:ascii="Arial" w:hAnsi="Arial" w:cs="Arial"/>
        </w:rPr>
        <w:t xml:space="preserve"> Industrial Energy Efﬁciency (IEE) Project is a multi-stakeholder initiative that supports increased and sustained energy efficiency within industrial and selected commercial sectors by promoting the increased adoption of Energy Management Systems (</w:t>
      </w:r>
      <w:proofErr w:type="spellStart"/>
      <w:r w:rsidRPr="001459AE">
        <w:rPr>
          <w:rFonts w:ascii="Arial" w:hAnsi="Arial" w:cs="Arial"/>
        </w:rPr>
        <w:t>EnMS</w:t>
      </w:r>
      <w:proofErr w:type="spellEnd"/>
      <w:r w:rsidRPr="001459AE">
        <w:rPr>
          <w:rFonts w:ascii="Arial" w:hAnsi="Arial" w:cs="Arial"/>
        </w:rPr>
        <w:t>), Energy Systems Optimisation (ESO), and the ISO 50001 series.</w:t>
      </w:r>
    </w:p>
    <w:p w14:paraId="7CEFB692" w14:textId="77777777" w:rsidR="0033775F" w:rsidRPr="001459AE" w:rsidRDefault="0033775F" w:rsidP="001045E0">
      <w:pPr>
        <w:spacing w:line="276" w:lineRule="auto"/>
        <w:contextualSpacing/>
        <w:jc w:val="both"/>
        <w:rPr>
          <w:rFonts w:ascii="Arial" w:hAnsi="Arial" w:cs="Arial"/>
        </w:rPr>
      </w:pPr>
    </w:p>
    <w:p w14:paraId="62C21D12" w14:textId="2C40B8D2" w:rsidR="001045E0" w:rsidRPr="001459AE" w:rsidRDefault="00B42B57" w:rsidP="001045E0">
      <w:pPr>
        <w:spacing w:line="276" w:lineRule="auto"/>
        <w:contextualSpacing/>
        <w:jc w:val="both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The </w:t>
      </w:r>
      <w:r w:rsidR="00C33D0E" w:rsidRPr="001459AE">
        <w:rPr>
          <w:rFonts w:ascii="Arial" w:hAnsi="Arial" w:cs="Arial"/>
        </w:rPr>
        <w:t xml:space="preserve">IEE Project was </w:t>
      </w:r>
      <w:r w:rsidRPr="001459AE">
        <w:rPr>
          <w:rFonts w:ascii="Arial" w:hAnsi="Arial" w:cs="Arial"/>
        </w:rPr>
        <w:t xml:space="preserve">launched in 2010 to assist industrial companies around the country to save energy and money, improve effectiveness and demonstrate the positive impact of energy management on </w:t>
      </w:r>
      <w:r w:rsidR="0033775F" w:rsidRPr="001459AE">
        <w:rPr>
          <w:rFonts w:ascii="Arial" w:hAnsi="Arial" w:cs="Arial"/>
        </w:rPr>
        <w:t>GHG</w:t>
      </w:r>
      <w:r w:rsidRPr="001459AE">
        <w:rPr>
          <w:rFonts w:ascii="Arial" w:hAnsi="Arial" w:cs="Arial"/>
        </w:rPr>
        <w:t xml:space="preserve"> emissions. </w:t>
      </w:r>
    </w:p>
    <w:p w14:paraId="49FF28DB" w14:textId="77777777" w:rsidR="001045E0" w:rsidRPr="001459AE" w:rsidRDefault="001045E0" w:rsidP="001045E0">
      <w:pPr>
        <w:spacing w:line="276" w:lineRule="auto"/>
        <w:contextualSpacing/>
        <w:jc w:val="both"/>
        <w:rPr>
          <w:rFonts w:ascii="Arial" w:hAnsi="Arial" w:cs="Arial"/>
        </w:rPr>
      </w:pPr>
    </w:p>
    <w:p w14:paraId="7F88FB9A" w14:textId="43291EC9" w:rsidR="00C33D0E" w:rsidRPr="001459AE" w:rsidRDefault="00B42B57" w:rsidP="001045E0">
      <w:pPr>
        <w:spacing w:line="276" w:lineRule="auto"/>
        <w:contextualSpacing/>
        <w:jc w:val="both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The Project in South Africa was the first of its kind, </w:t>
      </w:r>
      <w:r w:rsidR="00C33D0E" w:rsidRPr="001459AE">
        <w:rPr>
          <w:rFonts w:ascii="Arial" w:hAnsi="Arial" w:cs="Arial"/>
        </w:rPr>
        <w:t xml:space="preserve">and </w:t>
      </w:r>
      <w:r w:rsidRPr="001459AE">
        <w:rPr>
          <w:rFonts w:ascii="Arial" w:hAnsi="Arial" w:cs="Arial"/>
        </w:rPr>
        <w:t>serv</w:t>
      </w:r>
      <w:r w:rsidR="00C33D0E" w:rsidRPr="001459AE">
        <w:rPr>
          <w:rFonts w:ascii="Arial" w:hAnsi="Arial" w:cs="Arial"/>
        </w:rPr>
        <w:t>ed</w:t>
      </w:r>
      <w:r w:rsidRPr="001459AE">
        <w:rPr>
          <w:rFonts w:ascii="Arial" w:hAnsi="Arial" w:cs="Arial"/>
        </w:rPr>
        <w:t xml:space="preserve"> as an international pilot project. </w:t>
      </w:r>
      <w:r w:rsidR="00C33D0E" w:rsidRPr="001459AE">
        <w:rPr>
          <w:rFonts w:ascii="Arial" w:hAnsi="Arial" w:cs="Arial"/>
        </w:rPr>
        <w:t xml:space="preserve">The concept was </w:t>
      </w:r>
      <w:r w:rsidR="0033775F" w:rsidRPr="001459AE">
        <w:rPr>
          <w:rFonts w:ascii="Arial" w:hAnsi="Arial" w:cs="Arial"/>
        </w:rPr>
        <w:t xml:space="preserve">developed by the United Nations Industrial Development </w:t>
      </w:r>
      <w:r w:rsidR="00C33D0E" w:rsidRPr="001459AE">
        <w:rPr>
          <w:rFonts w:ascii="Arial" w:hAnsi="Arial" w:cs="Arial"/>
        </w:rPr>
        <w:t>Organization</w:t>
      </w:r>
      <w:r w:rsidR="0033775F" w:rsidRPr="001459AE">
        <w:rPr>
          <w:rFonts w:ascii="Arial" w:hAnsi="Arial" w:cs="Arial"/>
        </w:rPr>
        <w:t xml:space="preserve"> (UNIDO) and the primary national implementer was the National Cleaner Production Centre South Africa</w:t>
      </w:r>
      <w:r w:rsidR="00AC6632" w:rsidRPr="001459AE">
        <w:rPr>
          <w:rFonts w:ascii="Arial" w:hAnsi="Arial" w:cs="Arial"/>
        </w:rPr>
        <w:t xml:space="preserve"> (NCPC-SA)</w:t>
      </w:r>
      <w:r w:rsidR="00C33D0E" w:rsidRPr="001459AE">
        <w:rPr>
          <w:rFonts w:ascii="Arial" w:hAnsi="Arial" w:cs="Arial"/>
        </w:rPr>
        <w:t>, a programme funded by the Department of Trade, Industry and Competition (</w:t>
      </w:r>
      <w:r w:rsidR="00C33D0E" w:rsidRPr="001459AE">
        <w:rPr>
          <w:rFonts w:ascii="Arial" w:hAnsi="Arial" w:cs="Arial"/>
          <w:b/>
        </w:rPr>
        <w:t xml:space="preserve">the </w:t>
      </w:r>
      <w:proofErr w:type="spellStart"/>
      <w:r w:rsidR="00C33D0E" w:rsidRPr="001459AE">
        <w:rPr>
          <w:rFonts w:ascii="Arial" w:hAnsi="Arial" w:cs="Arial"/>
          <w:b/>
        </w:rPr>
        <w:t>dtic</w:t>
      </w:r>
      <w:proofErr w:type="spellEnd"/>
      <w:r w:rsidR="00C33D0E" w:rsidRPr="001459AE">
        <w:rPr>
          <w:rFonts w:ascii="Arial" w:hAnsi="Arial" w:cs="Arial"/>
        </w:rPr>
        <w:t>)</w:t>
      </w:r>
      <w:r w:rsidR="00121B9A" w:rsidRPr="001459AE">
        <w:rPr>
          <w:rFonts w:ascii="Arial" w:hAnsi="Arial" w:cs="Arial"/>
        </w:rPr>
        <w:t xml:space="preserve"> and managed by the </w:t>
      </w:r>
      <w:r w:rsidR="00AC6632" w:rsidRPr="001459AE">
        <w:rPr>
          <w:rFonts w:ascii="Arial" w:hAnsi="Arial" w:cs="Arial"/>
        </w:rPr>
        <w:t>Council for Scientific and Industrial Research (</w:t>
      </w:r>
      <w:r w:rsidR="00121B9A" w:rsidRPr="001459AE">
        <w:rPr>
          <w:rFonts w:ascii="Arial" w:hAnsi="Arial" w:cs="Arial"/>
        </w:rPr>
        <w:t>CSIR</w:t>
      </w:r>
      <w:r w:rsidR="00AC6632" w:rsidRPr="001459AE">
        <w:rPr>
          <w:rFonts w:ascii="Arial" w:hAnsi="Arial" w:cs="Arial"/>
        </w:rPr>
        <w:t>)</w:t>
      </w:r>
      <w:r w:rsidR="0033775F" w:rsidRPr="001459AE">
        <w:rPr>
          <w:rFonts w:ascii="Arial" w:hAnsi="Arial" w:cs="Arial"/>
        </w:rPr>
        <w:t xml:space="preserve">. </w:t>
      </w:r>
    </w:p>
    <w:p w14:paraId="5D46806D" w14:textId="77777777" w:rsidR="00C33D0E" w:rsidRPr="001459AE" w:rsidRDefault="00C33D0E" w:rsidP="001045E0">
      <w:pPr>
        <w:spacing w:line="276" w:lineRule="auto"/>
        <w:contextualSpacing/>
        <w:jc w:val="both"/>
        <w:rPr>
          <w:rFonts w:ascii="Arial" w:hAnsi="Arial" w:cs="Arial"/>
        </w:rPr>
      </w:pPr>
    </w:p>
    <w:p w14:paraId="0AD8BCFB" w14:textId="3734C9B2" w:rsidR="0033775F" w:rsidRPr="001459AE" w:rsidRDefault="0033775F" w:rsidP="001045E0">
      <w:pPr>
        <w:spacing w:line="276" w:lineRule="auto"/>
        <w:contextualSpacing/>
        <w:jc w:val="both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The first phase (2010 – 2015) was </w:t>
      </w:r>
      <w:r w:rsidR="00AC6632" w:rsidRPr="001459AE">
        <w:rPr>
          <w:rFonts w:ascii="Arial" w:hAnsi="Arial" w:cs="Arial"/>
        </w:rPr>
        <w:t xml:space="preserve">a </w:t>
      </w:r>
      <w:r w:rsidRPr="001459AE">
        <w:rPr>
          <w:rFonts w:ascii="Arial" w:hAnsi="Arial" w:cs="Arial"/>
        </w:rPr>
        <w:t xml:space="preserve">significant success and the model was used to replicate the IEE Project in other developing countries. </w:t>
      </w:r>
      <w:r w:rsidR="00B42B57" w:rsidRPr="001459AE">
        <w:rPr>
          <w:rFonts w:ascii="Arial" w:hAnsi="Arial" w:cs="Arial"/>
        </w:rPr>
        <w:t>Today, 17 other developing countries run IEE projects</w:t>
      </w:r>
      <w:r w:rsidRPr="001459AE">
        <w:rPr>
          <w:rFonts w:ascii="Arial" w:hAnsi="Arial" w:cs="Arial"/>
        </w:rPr>
        <w:t xml:space="preserve"> by UNIDO and country partners. The success also led to UNIDO and local partners securing funding for a second phase, which commenced in 2016. Phase II is funded by the Global </w:t>
      </w:r>
      <w:r w:rsidR="00C33D0E" w:rsidRPr="001459AE">
        <w:rPr>
          <w:rFonts w:ascii="Arial" w:hAnsi="Arial" w:cs="Arial"/>
        </w:rPr>
        <w:t>Environment Facility (GEF).</w:t>
      </w:r>
      <w:r w:rsidRPr="001459AE">
        <w:rPr>
          <w:rFonts w:ascii="Arial" w:hAnsi="Arial" w:cs="Arial"/>
        </w:rPr>
        <w:t xml:space="preserve"> </w:t>
      </w:r>
    </w:p>
    <w:p w14:paraId="42278FD4" w14:textId="77777777" w:rsidR="0033775F" w:rsidRPr="001459AE" w:rsidRDefault="0033775F" w:rsidP="001045E0">
      <w:pPr>
        <w:spacing w:line="276" w:lineRule="auto"/>
        <w:contextualSpacing/>
        <w:jc w:val="both"/>
        <w:rPr>
          <w:rFonts w:ascii="Arial" w:hAnsi="Arial" w:cs="Arial"/>
        </w:rPr>
      </w:pPr>
    </w:p>
    <w:p w14:paraId="3B7C8FF4" w14:textId="4957951B" w:rsidR="00B46581" w:rsidRPr="001459AE" w:rsidRDefault="00B46581" w:rsidP="001045E0">
      <w:pPr>
        <w:spacing w:line="276" w:lineRule="auto"/>
        <w:contextualSpacing/>
        <w:rPr>
          <w:rFonts w:ascii="Arial" w:hAnsi="Arial" w:cs="Arial"/>
          <w:b/>
          <w:bCs/>
          <w:sz w:val="24"/>
        </w:rPr>
      </w:pPr>
      <w:r w:rsidRPr="001459AE">
        <w:rPr>
          <w:rFonts w:ascii="Arial" w:hAnsi="Arial" w:cs="Arial"/>
          <w:b/>
          <w:bCs/>
          <w:sz w:val="24"/>
        </w:rPr>
        <w:t>PROJECT FOCUS</w:t>
      </w:r>
    </w:p>
    <w:p w14:paraId="36FF9345" w14:textId="05C19B95" w:rsidR="00B46581" w:rsidRPr="001459AE" w:rsidRDefault="00B46581" w:rsidP="001045E0">
      <w:pPr>
        <w:spacing w:line="276" w:lineRule="auto"/>
        <w:contextualSpacing/>
        <w:rPr>
          <w:rFonts w:ascii="Arial" w:hAnsi="Arial" w:cs="Arial"/>
        </w:rPr>
      </w:pPr>
    </w:p>
    <w:p w14:paraId="6F7A4A9D" w14:textId="1B6DCAB3" w:rsidR="00B46581" w:rsidRPr="001459AE" w:rsidRDefault="00B46581" w:rsidP="001045E0">
      <w:pPr>
        <w:spacing w:line="276" w:lineRule="auto"/>
        <w:contextualSpacing/>
        <w:rPr>
          <w:rFonts w:ascii="Arial" w:hAnsi="Arial" w:cs="Arial"/>
          <w:b/>
          <w:bCs/>
        </w:rPr>
      </w:pPr>
      <w:r w:rsidRPr="001459AE">
        <w:rPr>
          <w:rFonts w:ascii="Arial" w:hAnsi="Arial" w:cs="Arial"/>
          <w:b/>
          <w:bCs/>
        </w:rPr>
        <w:t xml:space="preserve">Phase </w:t>
      </w:r>
      <w:proofErr w:type="gramStart"/>
      <w:r w:rsidRPr="001459AE">
        <w:rPr>
          <w:rFonts w:ascii="Arial" w:hAnsi="Arial" w:cs="Arial"/>
          <w:b/>
          <w:bCs/>
        </w:rPr>
        <w:t>I</w:t>
      </w:r>
      <w:proofErr w:type="gramEnd"/>
      <w:r w:rsidRPr="001459AE">
        <w:rPr>
          <w:rFonts w:ascii="Arial" w:hAnsi="Arial" w:cs="Arial"/>
          <w:b/>
          <w:bCs/>
        </w:rPr>
        <w:t xml:space="preserve"> </w:t>
      </w:r>
      <w:r w:rsidR="00513310" w:rsidRPr="001459AE">
        <w:rPr>
          <w:rFonts w:ascii="Arial" w:hAnsi="Arial" w:cs="Arial"/>
          <w:b/>
          <w:bCs/>
        </w:rPr>
        <w:t xml:space="preserve">– A world first </w:t>
      </w:r>
      <w:r w:rsidRPr="001459AE">
        <w:rPr>
          <w:rFonts w:ascii="Arial" w:hAnsi="Arial" w:cs="Arial"/>
          <w:b/>
          <w:bCs/>
        </w:rPr>
        <w:t>(2010 – 2015)</w:t>
      </w:r>
    </w:p>
    <w:p w14:paraId="272743E8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Promoting energy management systems and standards to provide companies with a platform to sustain energy-efﬁcient practices</w:t>
      </w:r>
    </w:p>
    <w:p w14:paraId="2864DF18" w14:textId="1B8ED0D9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Promoting energy-systems optimisation to unlock the energy-savings potential of priority industrial sectors in </w:t>
      </w:r>
      <w:r w:rsidR="00AC6632" w:rsidRPr="001459AE">
        <w:rPr>
          <w:rFonts w:ascii="Arial" w:hAnsi="Arial" w:cs="Arial"/>
        </w:rPr>
        <w:t>South Africa</w:t>
      </w:r>
    </w:p>
    <w:p w14:paraId="40CF5DF5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Training energy experts and practitioners to transfer skills to industry</w:t>
      </w:r>
    </w:p>
    <w:p w14:paraId="6E54495B" w14:textId="6F8B4DB3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Demonstrating the impact of energy efﬁciency practices on local industries</w:t>
      </w:r>
    </w:p>
    <w:p w14:paraId="01DBF79E" w14:textId="50EEE7C7" w:rsidR="00B46581" w:rsidRPr="001459AE" w:rsidRDefault="00B46581" w:rsidP="001045E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Raising awareness </w:t>
      </w:r>
      <w:r w:rsidR="00CF718A" w:rsidRPr="001459AE">
        <w:rPr>
          <w:rFonts w:ascii="Arial" w:hAnsi="Arial" w:cs="Arial"/>
        </w:rPr>
        <w:t>around</w:t>
      </w:r>
      <w:r w:rsidRPr="001459AE">
        <w:rPr>
          <w:rFonts w:ascii="Arial" w:hAnsi="Arial" w:cs="Arial"/>
          <w:lang w:val="en-US"/>
        </w:rPr>
        <w:t xml:space="preserve"> the importance and impact of </w:t>
      </w:r>
      <w:r w:rsidR="00AC6632" w:rsidRPr="001459AE">
        <w:rPr>
          <w:rFonts w:ascii="Arial" w:hAnsi="Arial" w:cs="Arial"/>
          <w:lang w:val="en-US"/>
        </w:rPr>
        <w:t>industrial energy efficiency</w:t>
      </w:r>
    </w:p>
    <w:p w14:paraId="3C4C5C54" w14:textId="03A03A00" w:rsidR="00B46581" w:rsidRPr="001459AE" w:rsidRDefault="00B46581" w:rsidP="001045E0">
      <w:pPr>
        <w:spacing w:line="276" w:lineRule="auto"/>
        <w:rPr>
          <w:rFonts w:ascii="Arial" w:hAnsi="Arial" w:cs="Arial"/>
          <w:b/>
          <w:bCs/>
        </w:rPr>
      </w:pPr>
      <w:r w:rsidRPr="001459AE">
        <w:rPr>
          <w:rFonts w:ascii="Arial" w:hAnsi="Arial" w:cs="Arial"/>
          <w:b/>
          <w:bCs/>
        </w:rPr>
        <w:t>Phase II</w:t>
      </w:r>
      <w:r w:rsidR="00513310" w:rsidRPr="001459AE">
        <w:rPr>
          <w:rFonts w:ascii="Arial" w:hAnsi="Arial" w:cs="Arial"/>
          <w:b/>
          <w:bCs/>
        </w:rPr>
        <w:t xml:space="preserve"> – Bigger and better</w:t>
      </w:r>
      <w:r w:rsidRPr="001459AE">
        <w:rPr>
          <w:rFonts w:ascii="Arial" w:hAnsi="Arial" w:cs="Arial"/>
          <w:b/>
          <w:bCs/>
        </w:rPr>
        <w:t xml:space="preserve"> (2016 – 2021)</w:t>
      </w:r>
    </w:p>
    <w:p w14:paraId="41DB95CD" w14:textId="01DBB2AF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Improving industrial energy efﬁciency data as an input into policy development</w:t>
      </w:r>
    </w:p>
    <w:p w14:paraId="200EC260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Supporting strong policies and frameworks for energy management systems and standards</w:t>
      </w:r>
    </w:p>
    <w:p w14:paraId="71439BBD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Mainstreaming training programmes aimed at the implementation and sustainability of energy management systems and energy savings</w:t>
      </w:r>
    </w:p>
    <w:p w14:paraId="49BA8AB6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Supporting access to ﬁnancial products and incentives for energy efﬁciency and savings opportunities</w:t>
      </w:r>
    </w:p>
    <w:p w14:paraId="14683512" w14:textId="77777777" w:rsidR="00B46581" w:rsidRPr="001459AE" w:rsidRDefault="00B46581" w:rsidP="001045E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59AE">
        <w:rPr>
          <w:rFonts w:ascii="Arial" w:hAnsi="Arial" w:cs="Arial"/>
        </w:rPr>
        <w:t>Ongoing awareness creation</w:t>
      </w:r>
    </w:p>
    <w:p w14:paraId="40D220F4" w14:textId="289CE0B6" w:rsidR="00B46581" w:rsidRPr="001459AE" w:rsidRDefault="00B46581" w:rsidP="001045E0">
      <w:pPr>
        <w:spacing w:line="276" w:lineRule="auto"/>
        <w:rPr>
          <w:rFonts w:ascii="Arial" w:hAnsi="Arial" w:cs="Arial"/>
        </w:rPr>
      </w:pPr>
    </w:p>
    <w:p w14:paraId="1C05DFDF" w14:textId="5A09C4F9" w:rsidR="00E42A5A" w:rsidRPr="001459AE" w:rsidRDefault="00E42A5A" w:rsidP="001045E0">
      <w:pPr>
        <w:spacing w:line="276" w:lineRule="auto"/>
        <w:rPr>
          <w:rFonts w:ascii="Arial" w:hAnsi="Arial" w:cs="Arial"/>
          <w:b/>
          <w:bCs/>
          <w:sz w:val="24"/>
        </w:rPr>
      </w:pPr>
      <w:r w:rsidRPr="001459AE">
        <w:rPr>
          <w:rFonts w:ascii="Arial" w:hAnsi="Arial" w:cs="Arial"/>
          <w:b/>
          <w:bCs/>
          <w:sz w:val="24"/>
        </w:rPr>
        <w:lastRenderedPageBreak/>
        <w:t>PROJECT PARTNERS AND FUNDERS</w:t>
      </w:r>
    </w:p>
    <w:p w14:paraId="71FE5905" w14:textId="77777777" w:rsidR="00E42A5A" w:rsidRPr="001459AE" w:rsidRDefault="00E42A5A" w:rsidP="001045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 xml:space="preserve">National executing agency: </w:t>
      </w:r>
    </w:p>
    <w:p w14:paraId="314D8207" w14:textId="0AE0CFC6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Phases I and II: National Cleaner Production Centre, South Africa (NCPC-SA)</w:t>
      </w:r>
    </w:p>
    <w:p w14:paraId="6D8F93E7" w14:textId="0DC27DCC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 xml:space="preserve">Phase II: </w:t>
      </w:r>
      <w:r w:rsidR="00CF718A" w:rsidRPr="001459AE">
        <w:rPr>
          <w:rFonts w:ascii="Arial" w:hAnsi="Arial" w:cs="Arial"/>
          <w:lang w:val="en-US"/>
        </w:rPr>
        <w:t xml:space="preserve">DMRE and the </w:t>
      </w:r>
      <w:r w:rsidRPr="001459AE">
        <w:rPr>
          <w:rFonts w:ascii="Arial" w:hAnsi="Arial" w:cs="Arial"/>
          <w:lang w:val="en-US"/>
        </w:rPr>
        <w:t>South African National Energy Development Institute (SANEDI)</w:t>
      </w:r>
    </w:p>
    <w:p w14:paraId="68030050" w14:textId="13016FF6" w:rsidR="00E42A5A" w:rsidRPr="001459AE" w:rsidRDefault="00E42A5A" w:rsidP="001045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 xml:space="preserve">International implementing agency: </w:t>
      </w:r>
      <w:r w:rsidRPr="001459AE">
        <w:rPr>
          <w:rFonts w:ascii="Arial" w:hAnsi="Arial" w:cs="Arial"/>
          <w:lang w:val="en-US"/>
        </w:rPr>
        <w:t>United Nations Industrial Development Organization (UNIDO)</w:t>
      </w:r>
    </w:p>
    <w:p w14:paraId="1D303602" w14:textId="77777777" w:rsidR="00E42A5A" w:rsidRPr="001459AE" w:rsidRDefault="00E42A5A" w:rsidP="001045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 xml:space="preserve">South African national departments: </w:t>
      </w:r>
    </w:p>
    <w:p w14:paraId="449D94AE" w14:textId="726C08EA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Department of Trade, Industry and Competition (</w:t>
      </w:r>
      <w:r w:rsidR="00CF718A" w:rsidRPr="001459AE">
        <w:rPr>
          <w:rFonts w:ascii="Arial" w:hAnsi="Arial" w:cs="Arial"/>
          <w:b/>
          <w:lang w:val="en-US"/>
        </w:rPr>
        <w:t xml:space="preserve">the </w:t>
      </w:r>
      <w:proofErr w:type="spellStart"/>
      <w:r w:rsidRPr="001459AE">
        <w:rPr>
          <w:rFonts w:ascii="Arial" w:hAnsi="Arial" w:cs="Arial"/>
          <w:b/>
          <w:lang w:val="en-US"/>
        </w:rPr>
        <w:t>dtic</w:t>
      </w:r>
      <w:proofErr w:type="spellEnd"/>
      <w:r w:rsidRPr="001459AE">
        <w:rPr>
          <w:rFonts w:ascii="Arial" w:hAnsi="Arial" w:cs="Arial"/>
          <w:lang w:val="en-US"/>
        </w:rPr>
        <w:t>)</w:t>
      </w:r>
    </w:p>
    <w:p w14:paraId="051C00DF" w14:textId="7352A555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Department of Mineral Affairs and Energy (DMRE)</w:t>
      </w:r>
    </w:p>
    <w:p w14:paraId="1678C059" w14:textId="77777777" w:rsidR="00E42A5A" w:rsidRPr="001459AE" w:rsidRDefault="00E42A5A" w:rsidP="001045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 xml:space="preserve">International funders: </w:t>
      </w:r>
    </w:p>
    <w:p w14:paraId="7AAAEB36" w14:textId="10917BB0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 xml:space="preserve">Phase I: </w:t>
      </w:r>
      <w:r w:rsidRPr="001459AE">
        <w:rPr>
          <w:rFonts w:ascii="Arial" w:hAnsi="Arial" w:cs="Arial"/>
          <w:lang w:val="en-US"/>
        </w:rPr>
        <w:t>Swiss State Secretariat for Economic Affairs (SECO), UK Department of International Development</w:t>
      </w:r>
    </w:p>
    <w:p w14:paraId="3842CD21" w14:textId="236BBDDB" w:rsidR="00E42A5A" w:rsidRPr="001459AE" w:rsidRDefault="00E42A5A" w:rsidP="001045E0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>Phase II:</w:t>
      </w:r>
      <w:r w:rsidRPr="001459AE">
        <w:rPr>
          <w:rFonts w:ascii="Arial" w:hAnsi="Arial" w:cs="Arial"/>
          <w:lang w:val="en-US"/>
        </w:rPr>
        <w:t xml:space="preserve"> Global Environment Facility (GEF)</w:t>
      </w:r>
    </w:p>
    <w:p w14:paraId="2F5F7FEE" w14:textId="77777777" w:rsidR="00121B9A" w:rsidRPr="001459AE" w:rsidRDefault="00121B9A" w:rsidP="00121B9A">
      <w:pPr>
        <w:spacing w:after="0" w:line="276" w:lineRule="auto"/>
        <w:rPr>
          <w:rFonts w:ascii="Arial" w:hAnsi="Arial" w:cs="Arial"/>
          <w:b/>
          <w:bCs/>
          <w:sz w:val="24"/>
          <w:lang w:val="en-US"/>
        </w:rPr>
      </w:pPr>
    </w:p>
    <w:p w14:paraId="0D7B36D1" w14:textId="2C2555F6" w:rsidR="00E42A5A" w:rsidRPr="001459AE" w:rsidRDefault="00E42A5A" w:rsidP="001045E0">
      <w:pPr>
        <w:spacing w:line="276" w:lineRule="auto"/>
        <w:rPr>
          <w:rFonts w:ascii="Arial" w:hAnsi="Arial" w:cs="Arial"/>
          <w:b/>
          <w:bCs/>
          <w:sz w:val="24"/>
          <w:lang w:val="en-US"/>
        </w:rPr>
      </w:pPr>
      <w:r w:rsidRPr="001459AE">
        <w:rPr>
          <w:rFonts w:ascii="Arial" w:hAnsi="Arial" w:cs="Arial"/>
          <w:b/>
          <w:bCs/>
          <w:sz w:val="24"/>
          <w:lang w:val="en-US"/>
        </w:rPr>
        <w:t>ACHIEVEMENTS</w:t>
      </w:r>
    </w:p>
    <w:tbl>
      <w:tblPr>
        <w:tblStyle w:val="GridTable4-Accent3"/>
        <w:tblW w:w="9776" w:type="dxa"/>
        <w:tblLook w:val="04A0" w:firstRow="1" w:lastRow="0" w:firstColumn="1" w:lastColumn="0" w:noHBand="0" w:noVBand="1"/>
      </w:tblPr>
      <w:tblGrid>
        <w:gridCol w:w="3005"/>
        <w:gridCol w:w="6771"/>
      </w:tblGrid>
      <w:tr w:rsidR="001045E0" w:rsidRPr="001459AE" w14:paraId="21189ED1" w14:textId="77777777" w:rsidTr="00E32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02C02A04" w14:textId="40A434AA" w:rsidR="001045E0" w:rsidRPr="001459AE" w:rsidRDefault="001045E0" w:rsidP="001045E0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>Cumulative savings (Phases I and II):</w:t>
            </w:r>
          </w:p>
        </w:tc>
      </w:tr>
      <w:tr w:rsidR="00CF718A" w:rsidRPr="001459AE" w14:paraId="3B0D8468" w14:textId="77777777" w:rsidTr="00E3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556651" w14:textId="77777777" w:rsidR="00CF718A" w:rsidRPr="001459AE" w:rsidRDefault="00CF718A" w:rsidP="001045E0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>Energy saved:</w:t>
            </w:r>
          </w:p>
        </w:tc>
        <w:tc>
          <w:tcPr>
            <w:tcW w:w="6771" w:type="dxa"/>
          </w:tcPr>
          <w:p w14:paraId="4C42F071" w14:textId="77777777" w:rsidR="00CF718A" w:rsidRPr="001459AE" w:rsidRDefault="00CF718A" w:rsidP="001045E0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 xml:space="preserve">6.5 </w:t>
            </w:r>
            <w:proofErr w:type="spellStart"/>
            <w:r w:rsidRPr="001459AE">
              <w:rPr>
                <w:rFonts w:ascii="Arial" w:hAnsi="Arial" w:cs="Arial"/>
                <w:lang w:val="en-US"/>
              </w:rPr>
              <w:t>TWh</w:t>
            </w:r>
            <w:proofErr w:type="spellEnd"/>
            <w:r w:rsidRPr="001459AE">
              <w:rPr>
                <w:rFonts w:ascii="Arial" w:hAnsi="Arial" w:cs="Arial"/>
                <w:lang w:val="en-US"/>
              </w:rPr>
              <w:t xml:space="preserve">* of cumulative energy savings in participating companies </w:t>
            </w:r>
          </w:p>
        </w:tc>
      </w:tr>
      <w:tr w:rsidR="00CF718A" w:rsidRPr="001459AE" w14:paraId="02D5AA99" w14:textId="77777777" w:rsidTr="00E32DD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09D6B57" w14:textId="77777777" w:rsidR="00CF718A" w:rsidRPr="001459AE" w:rsidRDefault="00CF718A" w:rsidP="001045E0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>CO</w:t>
            </w:r>
            <w:r w:rsidRPr="001459AE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Pr="001459AE">
              <w:rPr>
                <w:rFonts w:ascii="Arial" w:hAnsi="Arial" w:cs="Arial"/>
                <w:lang w:val="en-US"/>
              </w:rPr>
              <w:t>e mitigated:</w:t>
            </w:r>
          </w:p>
        </w:tc>
        <w:tc>
          <w:tcPr>
            <w:tcW w:w="6771" w:type="dxa"/>
          </w:tcPr>
          <w:p w14:paraId="022BAF1E" w14:textId="0C9E6874" w:rsidR="00CF718A" w:rsidRPr="001459AE" w:rsidRDefault="00CF718A" w:rsidP="001045E0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 xml:space="preserve">6.4 million </w:t>
            </w:r>
            <w:proofErr w:type="spellStart"/>
            <w:r w:rsidRPr="001459AE">
              <w:rPr>
                <w:rFonts w:ascii="Arial" w:hAnsi="Arial" w:cs="Arial"/>
                <w:lang w:val="en-US"/>
              </w:rPr>
              <w:t>tonnes</w:t>
            </w:r>
            <w:proofErr w:type="spellEnd"/>
            <w:r w:rsidRPr="001459AE">
              <w:rPr>
                <w:rFonts w:ascii="Arial" w:hAnsi="Arial" w:cs="Arial"/>
                <w:lang w:val="en-US"/>
              </w:rPr>
              <w:t xml:space="preserve"> mitigated</w:t>
            </w:r>
          </w:p>
        </w:tc>
      </w:tr>
      <w:tr w:rsidR="00CF718A" w:rsidRPr="001459AE" w14:paraId="3A5CA413" w14:textId="77777777" w:rsidTr="00E3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9FE5A84" w14:textId="77777777" w:rsidR="00CF718A" w:rsidRPr="001459AE" w:rsidRDefault="00CF718A" w:rsidP="001045E0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>Costs saved:</w:t>
            </w:r>
          </w:p>
        </w:tc>
        <w:tc>
          <w:tcPr>
            <w:tcW w:w="6771" w:type="dxa"/>
          </w:tcPr>
          <w:p w14:paraId="0DE356DF" w14:textId="77777777" w:rsidR="00CF718A" w:rsidRPr="001459AE" w:rsidRDefault="00CF718A" w:rsidP="001045E0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1459AE">
              <w:rPr>
                <w:rFonts w:ascii="Arial" w:hAnsi="Arial" w:cs="Arial"/>
                <w:lang w:val="en-US"/>
              </w:rPr>
              <w:t xml:space="preserve">R5.3 billion cumulative cost avoidance in participating companies </w:t>
            </w:r>
          </w:p>
        </w:tc>
      </w:tr>
    </w:tbl>
    <w:p w14:paraId="6838B859" w14:textId="2D7373E9" w:rsidR="00750FD3" w:rsidRPr="001459AE" w:rsidRDefault="00B46581" w:rsidP="001045E0">
      <w:pPr>
        <w:spacing w:line="276" w:lineRule="auto"/>
        <w:contextualSpacing/>
        <w:rPr>
          <w:rFonts w:ascii="Arial" w:hAnsi="Arial" w:cs="Arial"/>
          <w:i/>
          <w:lang w:val="en-US"/>
        </w:rPr>
      </w:pPr>
      <w:r w:rsidRPr="001459AE">
        <w:rPr>
          <w:rFonts w:ascii="Arial" w:hAnsi="Arial" w:cs="Arial"/>
          <w:i/>
          <w:lang w:val="en-US"/>
        </w:rPr>
        <w:t>*</w:t>
      </w:r>
      <w:r w:rsidR="00750FD3" w:rsidRPr="001459AE">
        <w:rPr>
          <w:rFonts w:ascii="Arial" w:hAnsi="Arial" w:cs="Arial"/>
          <w:i/>
          <w:lang w:val="en-US"/>
        </w:rPr>
        <w:t>Equivalent to the electricity required to power 900 000 middle income SA homes for 12 months</w:t>
      </w:r>
      <w:r w:rsidRPr="001459AE">
        <w:rPr>
          <w:rFonts w:ascii="Arial" w:hAnsi="Arial" w:cs="Arial"/>
          <w:i/>
          <w:lang w:val="en-US"/>
        </w:rPr>
        <w:t xml:space="preserve">, or </w:t>
      </w:r>
      <w:r w:rsidR="00750FD3" w:rsidRPr="001459AE">
        <w:rPr>
          <w:rFonts w:ascii="Arial" w:hAnsi="Arial" w:cs="Arial"/>
          <w:i/>
          <w:lang w:val="en-US"/>
        </w:rPr>
        <w:t xml:space="preserve">5 years of load shedding (at the 2019 level of 1.352 </w:t>
      </w:r>
      <w:proofErr w:type="spellStart"/>
      <w:r w:rsidR="00750FD3" w:rsidRPr="001459AE">
        <w:rPr>
          <w:rFonts w:ascii="Arial" w:hAnsi="Arial" w:cs="Arial"/>
          <w:i/>
          <w:lang w:val="en-US"/>
        </w:rPr>
        <w:t>TWh</w:t>
      </w:r>
      <w:proofErr w:type="spellEnd"/>
      <w:r w:rsidR="00CF718A" w:rsidRPr="001459AE">
        <w:rPr>
          <w:rFonts w:ascii="Arial" w:hAnsi="Arial" w:cs="Arial"/>
          <w:i/>
          <w:lang w:val="en-US"/>
        </w:rPr>
        <w:t>)</w:t>
      </w:r>
    </w:p>
    <w:p w14:paraId="7658FAEF" w14:textId="7E5CB20F" w:rsidR="005E69C9" w:rsidRPr="001459AE" w:rsidRDefault="005E69C9" w:rsidP="001045E0">
      <w:pPr>
        <w:spacing w:line="276" w:lineRule="auto"/>
        <w:contextualSpacing/>
        <w:rPr>
          <w:rFonts w:ascii="Arial" w:hAnsi="Arial" w:cs="Arial"/>
          <w:lang w:val="en-US"/>
        </w:rPr>
      </w:pPr>
    </w:p>
    <w:p w14:paraId="4527D7D2" w14:textId="4C73B9E0" w:rsidR="005E69C9" w:rsidRPr="001459AE" w:rsidRDefault="001045E0" w:rsidP="001045E0">
      <w:pPr>
        <w:spacing w:line="276" w:lineRule="auto"/>
        <w:contextualSpacing/>
        <w:rPr>
          <w:rFonts w:ascii="Arial" w:hAnsi="Arial" w:cs="Arial"/>
          <w:b/>
          <w:bCs/>
          <w:lang w:val="en-US"/>
        </w:rPr>
      </w:pPr>
      <w:r w:rsidRPr="001459AE">
        <w:rPr>
          <w:rFonts w:ascii="Arial" w:hAnsi="Arial" w:cs="Arial"/>
          <w:b/>
          <w:bCs/>
          <w:lang w:val="en-US"/>
        </w:rPr>
        <w:t>Capacity Building</w:t>
      </w:r>
    </w:p>
    <w:p w14:paraId="002BF2E1" w14:textId="783E9A0D" w:rsidR="005E69C9" w:rsidRPr="001459AE" w:rsidRDefault="001045E0" w:rsidP="001045E0">
      <w:p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The training of industry professionals is a c</w:t>
      </w:r>
      <w:r w:rsidR="00A85F4F" w:rsidRPr="001459AE">
        <w:rPr>
          <w:rFonts w:ascii="Arial" w:hAnsi="Arial" w:cs="Arial"/>
          <w:lang w:val="en-US"/>
        </w:rPr>
        <w:t>ritical</w:t>
      </w:r>
      <w:r w:rsidRPr="001459AE">
        <w:rPr>
          <w:rFonts w:ascii="Arial" w:hAnsi="Arial" w:cs="Arial"/>
          <w:lang w:val="en-US"/>
        </w:rPr>
        <w:t xml:space="preserve"> component of the project, key to driving the sustained </w:t>
      </w:r>
      <w:r w:rsidR="00A85F4F" w:rsidRPr="001459AE">
        <w:rPr>
          <w:rFonts w:ascii="Arial" w:hAnsi="Arial" w:cs="Arial"/>
          <w:lang w:val="en-US"/>
        </w:rPr>
        <w:t xml:space="preserve">implementation </w:t>
      </w:r>
      <w:r w:rsidRPr="001459AE">
        <w:rPr>
          <w:rFonts w:ascii="Arial" w:hAnsi="Arial" w:cs="Arial"/>
          <w:lang w:val="en-US"/>
        </w:rPr>
        <w:t>of energy management. Together, UNIDO and the NCPC-SA developed i</w:t>
      </w:r>
      <w:r w:rsidR="005E69C9" w:rsidRPr="001459AE">
        <w:rPr>
          <w:rFonts w:ascii="Arial" w:hAnsi="Arial" w:cs="Arial"/>
          <w:lang w:val="en-US"/>
        </w:rPr>
        <w:t>nternationally benchmarked courses with locally relevant content</w:t>
      </w:r>
      <w:r w:rsidRPr="001459AE">
        <w:rPr>
          <w:rFonts w:ascii="Arial" w:hAnsi="Arial" w:cs="Arial"/>
          <w:lang w:val="en-US"/>
        </w:rPr>
        <w:t xml:space="preserve"> in energy management and energy systems </w:t>
      </w:r>
      <w:proofErr w:type="spellStart"/>
      <w:r w:rsidR="00AC6632" w:rsidRPr="001459AE">
        <w:rPr>
          <w:rFonts w:ascii="Arial" w:hAnsi="Arial" w:cs="Arial"/>
          <w:lang w:val="en-US"/>
        </w:rPr>
        <w:t>optimisation</w:t>
      </w:r>
      <w:proofErr w:type="spellEnd"/>
      <w:r w:rsidRPr="001459AE">
        <w:rPr>
          <w:rFonts w:ascii="Arial" w:hAnsi="Arial" w:cs="Arial"/>
          <w:lang w:val="en-US"/>
        </w:rPr>
        <w:t xml:space="preserve">.  </w:t>
      </w:r>
    </w:p>
    <w:p w14:paraId="6BE0DC01" w14:textId="49CD94D9" w:rsidR="005E69C9" w:rsidRPr="001459AE" w:rsidRDefault="005E69C9" w:rsidP="001045E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6490 engineers, technicians and managers trained (private and public sector)</w:t>
      </w:r>
    </w:p>
    <w:p w14:paraId="0F4AB14E" w14:textId="6ED43806" w:rsidR="005E69C9" w:rsidRPr="001459AE" w:rsidRDefault="005E69C9" w:rsidP="001045E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 xml:space="preserve">223 national experts trained in </w:t>
      </w:r>
      <w:proofErr w:type="spellStart"/>
      <w:r w:rsidRPr="001459AE">
        <w:rPr>
          <w:rFonts w:ascii="Arial" w:hAnsi="Arial" w:cs="Arial"/>
          <w:lang w:val="en-US"/>
        </w:rPr>
        <w:t>EnMS</w:t>
      </w:r>
      <w:proofErr w:type="spellEnd"/>
      <w:r w:rsidRPr="001459AE">
        <w:rPr>
          <w:rFonts w:ascii="Arial" w:hAnsi="Arial" w:cs="Arial"/>
          <w:lang w:val="en-US"/>
        </w:rPr>
        <w:t xml:space="preserve"> and ESO, and deployed in plants</w:t>
      </w:r>
    </w:p>
    <w:p w14:paraId="7A30A973" w14:textId="5E762D4C" w:rsidR="005E69C9" w:rsidRPr="001459AE" w:rsidRDefault="005E69C9" w:rsidP="001045E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>116 national trainers trained, some of whom are being contracted to train and advise internationally</w:t>
      </w:r>
    </w:p>
    <w:p w14:paraId="1CB6DE3F" w14:textId="14A8DFFC" w:rsidR="001045E0" w:rsidRPr="001459AE" w:rsidRDefault="001045E0" w:rsidP="001045E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 xml:space="preserve">12 different courses developed and offered </w:t>
      </w:r>
    </w:p>
    <w:p w14:paraId="28BABC3C" w14:textId="23C020CB" w:rsidR="003F7E4D" w:rsidRPr="001459AE" w:rsidRDefault="003F7E4D" w:rsidP="001045E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lang w:val="en-US"/>
        </w:rPr>
        <w:t xml:space="preserve">40 lead auditors </w:t>
      </w:r>
      <w:r w:rsidR="00CF718A" w:rsidRPr="001459AE">
        <w:rPr>
          <w:rFonts w:ascii="Arial" w:hAnsi="Arial" w:cs="Arial"/>
          <w:lang w:val="en-US"/>
        </w:rPr>
        <w:t xml:space="preserve">for ISO 50001 </w:t>
      </w:r>
      <w:r w:rsidRPr="001459AE">
        <w:rPr>
          <w:rFonts w:ascii="Arial" w:hAnsi="Arial" w:cs="Arial"/>
          <w:lang w:val="en-US"/>
        </w:rPr>
        <w:t>trained</w:t>
      </w:r>
    </w:p>
    <w:p w14:paraId="5BC2A66E" w14:textId="5AC913F5" w:rsidR="00B46581" w:rsidRPr="001459AE" w:rsidRDefault="001045E0" w:rsidP="001045E0">
      <w:pPr>
        <w:spacing w:line="276" w:lineRule="auto"/>
        <w:rPr>
          <w:rFonts w:ascii="Arial" w:hAnsi="Arial" w:cs="Arial"/>
          <w:lang w:val="en-US"/>
        </w:rPr>
      </w:pPr>
      <w:r w:rsidRPr="001459AE">
        <w:rPr>
          <w:rFonts w:ascii="Arial" w:hAnsi="Arial" w:cs="Arial"/>
          <w:b/>
          <w:lang w:val="en-US"/>
        </w:rPr>
        <w:t>Other noteworthy highlights</w:t>
      </w:r>
      <w:r w:rsidRPr="001459AE">
        <w:rPr>
          <w:rFonts w:ascii="Arial" w:hAnsi="Arial" w:cs="Arial"/>
          <w:lang w:val="en-US"/>
        </w:rPr>
        <w:t xml:space="preserve"> (prior to the winning of the AEE Award) </w:t>
      </w:r>
    </w:p>
    <w:p w14:paraId="48D74177" w14:textId="77777777" w:rsidR="00B46581" w:rsidRPr="001459AE" w:rsidRDefault="00B46581" w:rsidP="001045E0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" w:hAnsi="Arial" w:cs="Arial"/>
          <w:iCs/>
        </w:rPr>
      </w:pPr>
      <w:r w:rsidRPr="001459AE">
        <w:rPr>
          <w:rFonts w:ascii="Arial" w:hAnsi="Arial" w:cs="Arial"/>
          <w:iCs/>
        </w:rPr>
        <w:t xml:space="preserve">The IEE Project is one of only two </w:t>
      </w:r>
      <w:r w:rsidRPr="001459AE">
        <w:rPr>
          <w:rFonts w:ascii="Arial" w:hAnsi="Arial" w:cs="Arial"/>
          <w:b/>
          <w:bCs/>
          <w:iCs/>
        </w:rPr>
        <w:t>United Nations Framework Convention on Climate Change</w:t>
      </w:r>
      <w:r w:rsidRPr="001459AE">
        <w:rPr>
          <w:rFonts w:ascii="Arial" w:hAnsi="Arial" w:cs="Arial"/>
          <w:iCs/>
        </w:rPr>
        <w:t xml:space="preserve"> </w:t>
      </w:r>
      <w:r w:rsidRPr="001459AE">
        <w:rPr>
          <w:rFonts w:ascii="Arial" w:hAnsi="Arial" w:cs="Arial"/>
          <w:b/>
          <w:bCs/>
          <w:iCs/>
        </w:rPr>
        <w:t>NAMA recognition projects from Africa.</w:t>
      </w:r>
      <w:r w:rsidRPr="001459AE">
        <w:rPr>
          <w:rFonts w:ascii="Arial" w:hAnsi="Arial" w:cs="Arial"/>
          <w:iCs/>
        </w:rPr>
        <w:t xml:space="preserve"> The NAMA – Nationally Appropriate Mitigation Action – refers to a set of policies and actions undertaken by countries as part of a commitment to reduce greenhouse gas emissions. </w:t>
      </w:r>
    </w:p>
    <w:p w14:paraId="04F748ED" w14:textId="0EAC5768" w:rsidR="00B46581" w:rsidRPr="001459AE" w:rsidRDefault="00B46581" w:rsidP="001045E0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" w:hAnsi="Arial" w:cs="Arial"/>
          <w:iCs/>
        </w:rPr>
      </w:pPr>
      <w:r w:rsidRPr="001459AE">
        <w:rPr>
          <w:rFonts w:ascii="Arial" w:hAnsi="Arial" w:cs="Arial"/>
          <w:iCs/>
        </w:rPr>
        <w:t xml:space="preserve">The Project also serves as custodian of the </w:t>
      </w:r>
      <w:r w:rsidRPr="001459AE">
        <w:rPr>
          <w:rFonts w:ascii="Arial" w:hAnsi="Arial" w:cs="Arial"/>
          <w:b/>
          <w:bCs/>
          <w:iCs/>
        </w:rPr>
        <w:t>SANS/ISO 50001 Certification Register</w:t>
      </w:r>
      <w:r w:rsidRPr="001459AE">
        <w:rPr>
          <w:rFonts w:ascii="Arial" w:hAnsi="Arial" w:cs="Arial"/>
          <w:iCs/>
        </w:rPr>
        <w:t xml:space="preserve"> in South Africa. </w:t>
      </w:r>
    </w:p>
    <w:p w14:paraId="63DE81E1" w14:textId="2DA57262" w:rsidR="00533112" w:rsidRPr="001459AE" w:rsidRDefault="001045E0" w:rsidP="001045E0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" w:hAnsi="Arial" w:cs="Arial"/>
        </w:rPr>
      </w:pPr>
      <w:r w:rsidRPr="001459AE">
        <w:rPr>
          <w:rFonts w:ascii="Arial" w:hAnsi="Arial" w:cs="Arial"/>
          <w:b/>
          <w:bCs/>
          <w:noProof/>
          <w:sz w:val="32"/>
          <w:lang w:eastAsia="en-ZA"/>
        </w:rPr>
        <w:drawing>
          <wp:anchor distT="0" distB="0" distL="114300" distR="114300" simplePos="0" relativeHeight="251660288" behindDoc="1" locked="0" layoutInCell="1" allowOverlap="1" wp14:anchorId="670BF591" wp14:editId="7AA1561E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560000" cy="932400"/>
            <wp:effectExtent l="0" t="0" r="317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310" w:rsidRPr="001459AE">
        <w:rPr>
          <w:rFonts w:ascii="Arial" w:hAnsi="Arial" w:cs="Arial"/>
          <w:iCs/>
        </w:rPr>
        <w:t xml:space="preserve">In 2019, the Project was recognised by the Southern African Energy Efficiency </w:t>
      </w:r>
      <w:r w:rsidR="00AC6632" w:rsidRPr="001459AE">
        <w:rPr>
          <w:rFonts w:ascii="Arial" w:hAnsi="Arial" w:cs="Arial"/>
          <w:iCs/>
        </w:rPr>
        <w:t xml:space="preserve">Confederation </w:t>
      </w:r>
      <w:r w:rsidR="00513310" w:rsidRPr="001459AE">
        <w:rPr>
          <w:rFonts w:ascii="Arial" w:hAnsi="Arial" w:cs="Arial"/>
          <w:iCs/>
        </w:rPr>
        <w:t xml:space="preserve">as the </w:t>
      </w:r>
      <w:r w:rsidR="00513310" w:rsidRPr="001459AE">
        <w:rPr>
          <w:rFonts w:ascii="Arial" w:hAnsi="Arial" w:cs="Arial"/>
          <w:b/>
          <w:iCs/>
        </w:rPr>
        <w:t>South African Energy Project of the Year</w:t>
      </w:r>
      <w:r w:rsidR="00513310" w:rsidRPr="001459AE">
        <w:rPr>
          <w:rFonts w:ascii="Arial" w:hAnsi="Arial" w:cs="Arial"/>
          <w:iCs/>
        </w:rPr>
        <w:t xml:space="preserve">. </w:t>
      </w:r>
    </w:p>
    <w:p w14:paraId="094648B7" w14:textId="686058E3" w:rsidR="00F349C4" w:rsidRPr="001459AE" w:rsidRDefault="00F349C4">
      <w:pPr>
        <w:rPr>
          <w:rFonts w:ascii="Arial" w:hAnsi="Arial" w:cs="Arial"/>
          <w:iCs/>
        </w:rPr>
      </w:pPr>
      <w:r w:rsidRPr="001459AE">
        <w:rPr>
          <w:rFonts w:ascii="Arial" w:hAnsi="Arial" w:cs="Arial"/>
          <w:iCs/>
        </w:rPr>
        <w:br w:type="page"/>
      </w:r>
    </w:p>
    <w:p w14:paraId="533EF672" w14:textId="138AB77C" w:rsidR="00F349C4" w:rsidRPr="001459AE" w:rsidRDefault="00F349C4" w:rsidP="00F349C4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1459AE">
        <w:rPr>
          <w:rFonts w:ascii="Arial" w:hAnsi="Arial" w:cs="Arial"/>
          <w:b/>
        </w:rPr>
        <w:lastRenderedPageBreak/>
        <w:t>Opportunities for participation and industry support</w:t>
      </w:r>
    </w:p>
    <w:p w14:paraId="4BADC565" w14:textId="647A9A1E" w:rsidR="00F349C4" w:rsidRPr="001459AE" w:rsidRDefault="00F349C4" w:rsidP="00F349C4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p w14:paraId="4E77565A" w14:textId="3F21D70B" w:rsidR="00F349C4" w:rsidRPr="001459AE" w:rsidRDefault="00F349C4" w:rsidP="00F349C4">
      <w:pPr>
        <w:pStyle w:val="ListParagraph"/>
        <w:spacing w:line="276" w:lineRule="auto"/>
        <w:ind w:left="0"/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The IEE Project will run until December 2021, but even after this time, the work will continue through the NCPC-SA. Should companies wish to get support to </w:t>
      </w:r>
      <w:r w:rsidR="00AC6632" w:rsidRPr="001459AE">
        <w:rPr>
          <w:rFonts w:ascii="Arial" w:hAnsi="Arial" w:cs="Arial"/>
        </w:rPr>
        <w:t xml:space="preserve">realise </w:t>
      </w:r>
      <w:r w:rsidRPr="001459AE">
        <w:rPr>
          <w:rFonts w:ascii="Arial" w:hAnsi="Arial" w:cs="Arial"/>
        </w:rPr>
        <w:t xml:space="preserve">energy and related cost savings, the NCPC-SA offers the following: </w:t>
      </w:r>
    </w:p>
    <w:p w14:paraId="47BE2212" w14:textId="77777777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Online energy efficiency information sessions </w:t>
      </w:r>
    </w:p>
    <w:p w14:paraId="642DF237" w14:textId="77777777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Various online energy efficiency training courses  </w:t>
      </w:r>
    </w:p>
    <w:p w14:paraId="51B2147A" w14:textId="77777777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Advice on existing energy efficiency funding mechanisms such as the </w:t>
      </w:r>
      <w:hyperlink r:id="rId9" w:history="1">
        <w:r w:rsidRPr="001459AE">
          <w:rPr>
            <w:rStyle w:val="Hyperlink"/>
            <w:rFonts w:ascii="Arial" w:hAnsi="Arial" w:cs="Arial"/>
          </w:rPr>
          <w:t>Income Tax (12L) Allowance for Energy Efficiency Savings</w:t>
        </w:r>
      </w:hyperlink>
    </w:p>
    <w:p w14:paraId="37C866C2" w14:textId="77777777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 xml:space="preserve">Fully subsidised energy assessments </w:t>
      </w:r>
    </w:p>
    <w:p w14:paraId="1E1B0389" w14:textId="25B07879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>Energy Management Systems (</w:t>
      </w:r>
      <w:proofErr w:type="spellStart"/>
      <w:r w:rsidRPr="001459AE">
        <w:rPr>
          <w:rFonts w:ascii="Arial" w:hAnsi="Arial" w:cs="Arial"/>
        </w:rPr>
        <w:t>EnMS</w:t>
      </w:r>
      <w:proofErr w:type="spellEnd"/>
      <w:r w:rsidRPr="001459AE">
        <w:rPr>
          <w:rFonts w:ascii="Arial" w:hAnsi="Arial" w:cs="Arial"/>
        </w:rPr>
        <w:t xml:space="preserve">) implementation support </w:t>
      </w:r>
    </w:p>
    <w:p w14:paraId="0D635732" w14:textId="77777777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459AE">
        <w:rPr>
          <w:rFonts w:ascii="Arial" w:hAnsi="Arial" w:cs="Arial"/>
        </w:rPr>
        <w:t>ISO 50001 certification readiness support</w:t>
      </w:r>
    </w:p>
    <w:p w14:paraId="3714C406" w14:textId="7E0A82B5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1459AE">
        <w:rPr>
          <w:rFonts w:ascii="Arial" w:hAnsi="Arial" w:cs="Arial"/>
        </w:rPr>
        <w:t>South African case studies showcasing tangible energy efficiency benefits</w:t>
      </w:r>
    </w:p>
    <w:p w14:paraId="74456844" w14:textId="09403AF0" w:rsidR="00F349C4" w:rsidRPr="001459AE" w:rsidRDefault="00F349C4" w:rsidP="00F349C4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1459AE">
        <w:rPr>
          <w:rFonts w:ascii="Arial" w:hAnsi="Arial" w:cs="Arial"/>
        </w:rPr>
        <w:t xml:space="preserve">Free energy management tools and guides </w:t>
      </w:r>
    </w:p>
    <w:p w14:paraId="35C8BB3E" w14:textId="42E49D27" w:rsidR="00F349C4" w:rsidRPr="001459AE" w:rsidRDefault="00F349C4" w:rsidP="00F349C4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576DCA97" w14:textId="089F6B39" w:rsidR="00F349C4" w:rsidRPr="001459AE" w:rsidRDefault="00F349C4" w:rsidP="00F349C4">
      <w:pPr>
        <w:pStyle w:val="ListParagraph"/>
        <w:spacing w:line="276" w:lineRule="auto"/>
        <w:ind w:left="0"/>
        <w:rPr>
          <w:rFonts w:ascii="Arial" w:hAnsi="Arial" w:cs="Arial"/>
          <w:b/>
          <w:sz w:val="24"/>
        </w:rPr>
      </w:pPr>
      <w:r w:rsidRPr="001459AE">
        <w:rPr>
          <w:rFonts w:ascii="Arial" w:hAnsi="Arial" w:cs="Arial"/>
          <w:b/>
          <w:sz w:val="24"/>
        </w:rPr>
        <w:t xml:space="preserve">For more information, contact </w:t>
      </w:r>
      <w:hyperlink r:id="rId10" w:history="1">
        <w:r w:rsidRPr="001459AE">
          <w:rPr>
            <w:rStyle w:val="Hyperlink"/>
            <w:rFonts w:ascii="Arial" w:hAnsi="Arial" w:cs="Arial"/>
            <w:b/>
            <w:sz w:val="24"/>
          </w:rPr>
          <w:t>ncpc@csir.co.za</w:t>
        </w:r>
      </w:hyperlink>
      <w:r w:rsidRPr="001459AE">
        <w:rPr>
          <w:rFonts w:ascii="Arial" w:hAnsi="Arial" w:cs="Arial"/>
          <w:b/>
          <w:sz w:val="24"/>
        </w:rPr>
        <w:t xml:space="preserve"> or visit </w:t>
      </w:r>
      <w:hyperlink r:id="rId11" w:history="1">
        <w:r w:rsidRPr="001459AE">
          <w:rPr>
            <w:rStyle w:val="Hyperlink"/>
            <w:rFonts w:ascii="Arial" w:hAnsi="Arial" w:cs="Arial"/>
            <w:b/>
            <w:sz w:val="24"/>
          </w:rPr>
          <w:t>www.ncpc.co.za</w:t>
        </w:r>
      </w:hyperlink>
      <w:r w:rsidRPr="001459AE">
        <w:rPr>
          <w:rFonts w:ascii="Arial" w:hAnsi="Arial" w:cs="Arial"/>
          <w:b/>
          <w:sz w:val="24"/>
        </w:rPr>
        <w:t xml:space="preserve"> </w:t>
      </w:r>
    </w:p>
    <w:sectPr w:rsidR="00F349C4" w:rsidRPr="001459AE" w:rsidSect="001045E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EA3"/>
    <w:multiLevelType w:val="hybridMultilevel"/>
    <w:tmpl w:val="5AEA2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45025"/>
    <w:multiLevelType w:val="hybridMultilevel"/>
    <w:tmpl w:val="7FFEBB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73BA9"/>
    <w:multiLevelType w:val="hybridMultilevel"/>
    <w:tmpl w:val="05828D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D3B54"/>
    <w:multiLevelType w:val="hybridMultilevel"/>
    <w:tmpl w:val="995626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B3310"/>
    <w:multiLevelType w:val="hybridMultilevel"/>
    <w:tmpl w:val="5C08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03BAB"/>
    <w:multiLevelType w:val="hybridMultilevel"/>
    <w:tmpl w:val="7DAA65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64AB8"/>
    <w:multiLevelType w:val="hybridMultilevel"/>
    <w:tmpl w:val="55D078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BE4"/>
    <w:multiLevelType w:val="hybridMultilevel"/>
    <w:tmpl w:val="7DB03C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F6B80"/>
    <w:multiLevelType w:val="hybridMultilevel"/>
    <w:tmpl w:val="9CC25D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FE79FB"/>
    <w:multiLevelType w:val="hybridMultilevel"/>
    <w:tmpl w:val="D5F24B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94EA9"/>
    <w:multiLevelType w:val="hybridMultilevel"/>
    <w:tmpl w:val="C158F4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7"/>
    <w:rsid w:val="00024464"/>
    <w:rsid w:val="000729AA"/>
    <w:rsid w:val="000E578B"/>
    <w:rsid w:val="001045E0"/>
    <w:rsid w:val="00121B9A"/>
    <w:rsid w:val="001459AE"/>
    <w:rsid w:val="001A272C"/>
    <w:rsid w:val="00214A91"/>
    <w:rsid w:val="002A511E"/>
    <w:rsid w:val="0033775F"/>
    <w:rsid w:val="003F7E4D"/>
    <w:rsid w:val="00452DD3"/>
    <w:rsid w:val="004F3AE5"/>
    <w:rsid w:val="00513310"/>
    <w:rsid w:val="00533112"/>
    <w:rsid w:val="005E69C9"/>
    <w:rsid w:val="006B769F"/>
    <w:rsid w:val="00750FD3"/>
    <w:rsid w:val="007E75ED"/>
    <w:rsid w:val="007F36F9"/>
    <w:rsid w:val="00A85F4F"/>
    <w:rsid w:val="00AC6632"/>
    <w:rsid w:val="00AF5C68"/>
    <w:rsid w:val="00B25D33"/>
    <w:rsid w:val="00B42B57"/>
    <w:rsid w:val="00B46581"/>
    <w:rsid w:val="00BE2711"/>
    <w:rsid w:val="00C33D0E"/>
    <w:rsid w:val="00C46326"/>
    <w:rsid w:val="00CA1C1C"/>
    <w:rsid w:val="00CA7067"/>
    <w:rsid w:val="00CF718A"/>
    <w:rsid w:val="00E32DDA"/>
    <w:rsid w:val="00E42A5A"/>
    <w:rsid w:val="00F349C4"/>
    <w:rsid w:val="00F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F980"/>
  <w15:chartTrackingRefBased/>
  <w15:docId w15:val="{A6E5D222-5F86-414E-B1D3-5628178A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1E"/>
    <w:rPr>
      <w:color w:val="276670" w:themeColor="hyperlink"/>
      <w:u w:val="single"/>
    </w:rPr>
  </w:style>
  <w:style w:type="table" w:styleId="GridTable4-Accent3">
    <w:name w:val="Grid Table 4 Accent 3"/>
    <w:basedOn w:val="TableNormal"/>
    <w:uiPriority w:val="49"/>
    <w:rsid w:val="00E32DDA"/>
    <w:pPr>
      <w:spacing w:after="0" w:line="240" w:lineRule="auto"/>
    </w:pPr>
    <w:tblPr>
      <w:tblStyleRowBandSize w:val="1"/>
      <w:tblStyleColBandSize w:val="1"/>
      <w:tblBorders>
        <w:top w:val="single" w:sz="4" w:space="0" w:color="ABBDC9" w:themeColor="accent3" w:themeTint="99"/>
        <w:left w:val="single" w:sz="4" w:space="0" w:color="ABBDC9" w:themeColor="accent3" w:themeTint="99"/>
        <w:bottom w:val="single" w:sz="4" w:space="0" w:color="ABBDC9" w:themeColor="accent3" w:themeTint="99"/>
        <w:right w:val="single" w:sz="4" w:space="0" w:color="ABBDC9" w:themeColor="accent3" w:themeTint="99"/>
        <w:insideH w:val="single" w:sz="4" w:space="0" w:color="ABBDC9" w:themeColor="accent3" w:themeTint="99"/>
        <w:insideV w:val="single" w:sz="4" w:space="0" w:color="ABBD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92A5" w:themeColor="accent3"/>
          <w:left w:val="single" w:sz="4" w:space="0" w:color="7492A5" w:themeColor="accent3"/>
          <w:bottom w:val="single" w:sz="4" w:space="0" w:color="7492A5" w:themeColor="accent3"/>
          <w:right w:val="single" w:sz="4" w:space="0" w:color="7492A5" w:themeColor="accent3"/>
          <w:insideH w:val="nil"/>
          <w:insideV w:val="nil"/>
        </w:tcBorders>
        <w:shd w:val="clear" w:color="auto" w:fill="7492A5" w:themeFill="accent3"/>
      </w:tcPr>
    </w:tblStylePr>
    <w:tblStylePr w:type="lastRow">
      <w:rPr>
        <w:b/>
        <w:bCs/>
      </w:rPr>
      <w:tblPr/>
      <w:tcPr>
        <w:tcBorders>
          <w:top w:val="double" w:sz="4" w:space="0" w:color="7492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D" w:themeFill="accent3" w:themeFillTint="33"/>
      </w:tcPr>
    </w:tblStylePr>
    <w:tblStylePr w:type="band1Horz">
      <w:tblPr/>
      <w:tcPr>
        <w:shd w:val="clear" w:color="auto" w:fill="E3E9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C6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6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pc@csir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pc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eeproject.co.za" TargetMode="External"/><Relationship Id="rId11" Type="http://schemas.openxmlformats.org/officeDocument/2006/relationships/hyperlink" Target="http://www.ncpc.co.za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cpc@csir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a.org/reports/sustainable-recovery" TargetMode="External"/></Relationships>
</file>

<file path=word/theme/theme1.xml><?xml version="1.0" encoding="utf-8"?>
<a:theme xmlns:a="http://schemas.openxmlformats.org/drawingml/2006/main" name="Office Theme">
  <a:themeElements>
    <a:clrScheme name="NCPC">
      <a:dk1>
        <a:sysClr val="windowText" lastClr="000000"/>
      </a:dk1>
      <a:lt1>
        <a:sysClr val="window" lastClr="FFFFFF"/>
      </a:lt1>
      <a:dk2>
        <a:srgbClr val="276670"/>
      </a:dk2>
      <a:lt2>
        <a:srgbClr val="92AAB8"/>
      </a:lt2>
      <a:accent1>
        <a:srgbClr val="8DC63F"/>
      </a:accent1>
      <a:accent2>
        <a:srgbClr val="00A8D9"/>
      </a:accent2>
      <a:accent3>
        <a:srgbClr val="7492A5"/>
      </a:accent3>
      <a:accent4>
        <a:srgbClr val="AAD571"/>
      </a:accent4>
      <a:accent5>
        <a:srgbClr val="4BD8FF"/>
      </a:accent5>
      <a:accent6>
        <a:srgbClr val="A5A5A5"/>
      </a:accent6>
      <a:hlink>
        <a:srgbClr val="276670"/>
      </a:hlink>
      <a:folHlink>
        <a:srgbClr val="8DC6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KDioka</cp:lastModifiedBy>
  <cp:revision>2</cp:revision>
  <cp:lastPrinted>2020-10-14T16:49:00Z</cp:lastPrinted>
  <dcterms:created xsi:type="dcterms:W3CDTF">2020-10-19T09:28:00Z</dcterms:created>
  <dcterms:modified xsi:type="dcterms:W3CDTF">2020-10-19T09:28:00Z</dcterms:modified>
</cp:coreProperties>
</file>